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CEFIRE DE VALÈNCIA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VALÈNCIA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Capacitacióen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ABAD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1.1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BERNA P.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BERNABEU 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CARCEL C.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CARDONA 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DENORE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DIAZ 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FERRER G.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FERRER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FPA4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GARCIA S., D.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GARCIA S., J.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JORQUES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JUAN 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2.4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LOPEZ C.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LOPEZ F.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2.6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MARTINEZ C.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MARTINEZ 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2.7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MONZO H.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MORANT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2.9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PASCUAL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